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12" w:rsidRPr="00334D12" w:rsidRDefault="00334D12" w:rsidP="00334D12">
      <w:pPr>
        <w:jc w:val="center"/>
        <w:rPr>
          <w:b/>
          <w:color w:val="FF0000"/>
          <w:sz w:val="84"/>
          <w:szCs w:val="84"/>
        </w:rPr>
      </w:pPr>
      <w:r w:rsidRPr="00334D12">
        <w:rPr>
          <w:rFonts w:hint="eastAsia"/>
          <w:b/>
          <w:color w:val="FF0000"/>
          <w:sz w:val="84"/>
          <w:szCs w:val="84"/>
        </w:rPr>
        <w:t>山</w:t>
      </w:r>
      <w:r>
        <w:rPr>
          <w:rFonts w:hint="eastAsia"/>
          <w:b/>
          <w:color w:val="FF0000"/>
          <w:sz w:val="84"/>
          <w:szCs w:val="84"/>
        </w:rPr>
        <w:t xml:space="preserve"> </w:t>
      </w:r>
      <w:r w:rsidRPr="00334D12">
        <w:rPr>
          <w:rFonts w:hint="eastAsia"/>
          <w:b/>
          <w:color w:val="FF0000"/>
          <w:sz w:val="84"/>
          <w:szCs w:val="84"/>
        </w:rPr>
        <w:t>东</w:t>
      </w:r>
      <w:r>
        <w:rPr>
          <w:rFonts w:hint="eastAsia"/>
          <w:b/>
          <w:color w:val="FF0000"/>
          <w:sz w:val="84"/>
          <w:szCs w:val="84"/>
        </w:rPr>
        <w:t xml:space="preserve"> </w:t>
      </w:r>
      <w:r w:rsidRPr="00334D12">
        <w:rPr>
          <w:rFonts w:hint="eastAsia"/>
          <w:b/>
          <w:color w:val="FF0000"/>
          <w:sz w:val="84"/>
          <w:szCs w:val="84"/>
        </w:rPr>
        <w:t>省</w:t>
      </w:r>
      <w:r>
        <w:rPr>
          <w:rFonts w:hint="eastAsia"/>
          <w:b/>
          <w:color w:val="FF0000"/>
          <w:sz w:val="84"/>
          <w:szCs w:val="84"/>
        </w:rPr>
        <w:t xml:space="preserve"> </w:t>
      </w:r>
      <w:r w:rsidRPr="00334D12">
        <w:rPr>
          <w:rFonts w:hint="eastAsia"/>
          <w:b/>
          <w:color w:val="FF0000"/>
          <w:sz w:val="84"/>
          <w:szCs w:val="84"/>
        </w:rPr>
        <w:t>教</w:t>
      </w:r>
      <w:r>
        <w:rPr>
          <w:rFonts w:hint="eastAsia"/>
          <w:b/>
          <w:color w:val="FF0000"/>
          <w:sz w:val="84"/>
          <w:szCs w:val="84"/>
        </w:rPr>
        <w:t xml:space="preserve"> </w:t>
      </w:r>
      <w:r w:rsidRPr="00334D12">
        <w:rPr>
          <w:rFonts w:hint="eastAsia"/>
          <w:b/>
          <w:color w:val="FF0000"/>
          <w:sz w:val="84"/>
          <w:szCs w:val="84"/>
        </w:rPr>
        <w:t>育</w:t>
      </w:r>
      <w:r>
        <w:rPr>
          <w:rFonts w:hint="eastAsia"/>
          <w:b/>
          <w:color w:val="FF0000"/>
          <w:sz w:val="84"/>
          <w:szCs w:val="84"/>
        </w:rPr>
        <w:t xml:space="preserve"> </w:t>
      </w:r>
      <w:r w:rsidRPr="00334D12">
        <w:rPr>
          <w:rFonts w:hint="eastAsia"/>
          <w:b/>
          <w:color w:val="FF0000"/>
          <w:sz w:val="84"/>
          <w:szCs w:val="84"/>
        </w:rPr>
        <w:t>厅</w:t>
      </w:r>
    </w:p>
    <w:p w:rsidR="00334D12" w:rsidRDefault="0042467E" w:rsidP="00334D12">
      <w:pPr>
        <w:rPr>
          <w:b/>
          <w:sz w:val="32"/>
          <w:szCs w:val="32"/>
        </w:rPr>
      </w:pPr>
      <w:r>
        <w:rPr>
          <w:b/>
          <w:noProof/>
          <w:sz w:val="32"/>
          <w:szCs w:val="32"/>
        </w:rPr>
        <w:pict>
          <v:shapetype id="_x0000_t32" coordsize="21600,21600" o:spt="32" o:oned="t" path="m,l21600,21600e" filled="f">
            <v:path arrowok="t" fillok="f" o:connecttype="none"/>
            <o:lock v:ext="edit" shapetype="t"/>
          </v:shapetype>
          <v:shape id="_x0000_s1031" type="#_x0000_t32" style="position:absolute;left:0;text-align:left;margin-left:0;margin-top:16.05pt;width:420pt;height:.05pt;z-index:251658240" o:connectortype="straight" strokecolor="red" strokeweight="2.25pt">
            <v:shadow type="perspective" color="#974706 [1609]" opacity=".5" offset="1pt" offset2="-1pt"/>
          </v:shape>
        </w:pict>
      </w:r>
    </w:p>
    <w:p w:rsidR="00334D12" w:rsidRPr="00334D12" w:rsidRDefault="00334D12" w:rsidP="00334D12">
      <w:pPr>
        <w:ind w:firstLineChars="1600" w:firstLine="4819"/>
        <w:jc w:val="left"/>
        <w:rPr>
          <w:b/>
          <w:sz w:val="30"/>
          <w:szCs w:val="30"/>
        </w:rPr>
      </w:pPr>
      <w:r w:rsidRPr="00334D12">
        <w:rPr>
          <w:rFonts w:hint="eastAsia"/>
          <w:b/>
          <w:sz w:val="30"/>
          <w:szCs w:val="30"/>
        </w:rPr>
        <w:t>鲁教高函〔</w:t>
      </w:r>
      <w:r w:rsidRPr="00334D12">
        <w:rPr>
          <w:rFonts w:hint="eastAsia"/>
          <w:b/>
          <w:sz w:val="30"/>
          <w:szCs w:val="30"/>
        </w:rPr>
        <w:t>2017</w:t>
      </w:r>
      <w:r w:rsidRPr="00334D12">
        <w:rPr>
          <w:rFonts w:hint="eastAsia"/>
          <w:b/>
          <w:sz w:val="30"/>
          <w:szCs w:val="30"/>
        </w:rPr>
        <w:t>〕</w:t>
      </w:r>
      <w:r w:rsidRPr="00334D12">
        <w:rPr>
          <w:rFonts w:hint="eastAsia"/>
          <w:b/>
          <w:sz w:val="30"/>
          <w:szCs w:val="30"/>
        </w:rPr>
        <w:t xml:space="preserve">3 </w:t>
      </w:r>
      <w:r w:rsidRPr="00334D12">
        <w:rPr>
          <w:rFonts w:hint="eastAsia"/>
          <w:b/>
          <w:sz w:val="30"/>
          <w:szCs w:val="30"/>
        </w:rPr>
        <w:t>号</w:t>
      </w:r>
    </w:p>
    <w:p w:rsidR="00334D12" w:rsidRDefault="00334D12" w:rsidP="00334D12">
      <w:pPr>
        <w:jc w:val="center"/>
        <w:rPr>
          <w:rFonts w:asciiTheme="majorEastAsia" w:eastAsiaTheme="majorEastAsia" w:hAnsiTheme="majorEastAsia"/>
          <w:b/>
          <w:sz w:val="44"/>
          <w:szCs w:val="44"/>
        </w:rPr>
      </w:pPr>
    </w:p>
    <w:p w:rsidR="00334D12" w:rsidRDefault="00334D12" w:rsidP="00334D12">
      <w:pPr>
        <w:jc w:val="center"/>
        <w:rPr>
          <w:rFonts w:asciiTheme="majorEastAsia" w:eastAsiaTheme="majorEastAsia" w:hAnsiTheme="majorEastAsia"/>
          <w:b/>
          <w:sz w:val="44"/>
          <w:szCs w:val="44"/>
        </w:rPr>
      </w:pPr>
    </w:p>
    <w:p w:rsidR="00334D12" w:rsidRPr="00334D12" w:rsidRDefault="00334D12" w:rsidP="00334D12">
      <w:pPr>
        <w:jc w:val="center"/>
        <w:rPr>
          <w:rFonts w:ascii="黑体" w:eastAsia="黑体" w:hAnsi="黑体"/>
          <w:b/>
          <w:sz w:val="44"/>
          <w:szCs w:val="44"/>
        </w:rPr>
      </w:pPr>
      <w:r w:rsidRPr="00334D12">
        <w:rPr>
          <w:rFonts w:ascii="黑体" w:eastAsia="黑体" w:hAnsi="黑体" w:hint="eastAsia"/>
          <w:b/>
          <w:sz w:val="44"/>
          <w:szCs w:val="44"/>
        </w:rPr>
        <w:t>山东省教育厅</w:t>
      </w:r>
    </w:p>
    <w:p w:rsidR="00334D12" w:rsidRPr="00334D12" w:rsidRDefault="00334D12" w:rsidP="00334D12">
      <w:pPr>
        <w:jc w:val="center"/>
        <w:rPr>
          <w:rFonts w:ascii="黑体" w:eastAsia="黑体" w:hAnsi="黑体"/>
          <w:b/>
          <w:sz w:val="44"/>
          <w:szCs w:val="44"/>
        </w:rPr>
      </w:pPr>
      <w:r w:rsidRPr="00334D12">
        <w:rPr>
          <w:rFonts w:ascii="黑体" w:eastAsia="黑体" w:hAnsi="黑体" w:hint="eastAsia"/>
          <w:b/>
          <w:sz w:val="44"/>
          <w:szCs w:val="44"/>
        </w:rPr>
        <w:t>关于发布 2016 年上半年普通高等学校</w:t>
      </w:r>
    </w:p>
    <w:p w:rsidR="00334D12" w:rsidRPr="00334D12" w:rsidRDefault="00334D12" w:rsidP="00334D12">
      <w:pPr>
        <w:jc w:val="center"/>
        <w:rPr>
          <w:rFonts w:ascii="黑体" w:eastAsia="黑体" w:hAnsi="黑体"/>
          <w:b/>
          <w:sz w:val="44"/>
          <w:szCs w:val="44"/>
        </w:rPr>
      </w:pPr>
      <w:r w:rsidRPr="00334D12">
        <w:rPr>
          <w:rFonts w:ascii="黑体" w:eastAsia="黑体" w:hAnsi="黑体" w:hint="eastAsia"/>
          <w:b/>
          <w:sz w:val="44"/>
          <w:szCs w:val="44"/>
        </w:rPr>
        <w:t>本科教学工作审核评估报告的通知</w:t>
      </w:r>
    </w:p>
    <w:p w:rsidR="00334D12" w:rsidRDefault="00334D12" w:rsidP="00334D12">
      <w:pPr>
        <w:rPr>
          <w:sz w:val="30"/>
          <w:szCs w:val="30"/>
        </w:rPr>
      </w:pP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有关高等学校：</w:t>
      </w:r>
    </w:p>
    <w:p w:rsidR="00334D12" w:rsidRPr="00334D12" w:rsidRDefault="00334D12" w:rsidP="00334D12">
      <w:pPr>
        <w:ind w:firstLineChars="200" w:firstLine="600"/>
        <w:rPr>
          <w:rFonts w:ascii="仿宋" w:eastAsia="仿宋" w:hAnsi="仿宋"/>
          <w:sz w:val="30"/>
          <w:szCs w:val="30"/>
        </w:rPr>
      </w:pPr>
      <w:r w:rsidRPr="00334D12">
        <w:rPr>
          <w:rFonts w:ascii="仿宋" w:eastAsia="仿宋" w:hAnsi="仿宋" w:hint="eastAsia"/>
          <w:sz w:val="30"/>
          <w:szCs w:val="30"/>
        </w:rPr>
        <w:t>根据《教育部关于开展普通高等学校本科教学工作审核评估</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的通知》（教高〔2013〕10 号）和《山东省教育厅关于印发山东省普通高等学校本科教学工作审核评估实施方案的通知》（鲁教高字〔2014〕21 号）要求，我厅于 2016 年上半年组织专家组对济南大学等 4 所高校的本科教学工作进行了审核评估。专家组严格按照审核评估要求和程序，在认真、全面开展各项审核评估工作的基础上，形成了《本科教学工作审核评估报告》（以下简称《审核评估报告》），并经山东省普通高等学校本科教学工作审核评估专家委员会审核。现予发布。</w:t>
      </w:r>
    </w:p>
    <w:p w:rsidR="000A70F0" w:rsidRDefault="000A70F0" w:rsidP="00334D12">
      <w:pPr>
        <w:rPr>
          <w:rFonts w:ascii="仿宋" w:eastAsia="仿宋" w:hAnsi="仿宋"/>
          <w:sz w:val="30"/>
          <w:szCs w:val="30"/>
        </w:rPr>
      </w:pP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请有关高校认真学习分析《审核评估报告》，结合审核评估</w:t>
      </w:r>
      <w:r w:rsidRPr="00334D12">
        <w:rPr>
          <w:rFonts w:ascii="仿宋" w:eastAsia="仿宋" w:hAnsi="仿宋" w:hint="eastAsia"/>
          <w:sz w:val="30"/>
          <w:szCs w:val="30"/>
        </w:rPr>
        <w:lastRenderedPageBreak/>
        <w:t>中专家组的反馈意见，针对存在的问题，逐项制定整改方案，于 4月 15 日前报送我厅高教处。</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有关高校要切实贯彻“以评促建、以评促改、以评促管、评</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建结合、重在建设”的方针，做好持续改进工作，促进学校本科</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教学持续健康发展，全面提升人才培养质量。</w:t>
      </w:r>
    </w:p>
    <w:p w:rsidR="000A70F0" w:rsidRDefault="000A70F0" w:rsidP="00334D12">
      <w:pPr>
        <w:rPr>
          <w:rFonts w:ascii="仿宋" w:eastAsia="仿宋" w:hAnsi="仿宋"/>
          <w:sz w:val="30"/>
          <w:szCs w:val="30"/>
        </w:rPr>
      </w:pPr>
    </w:p>
    <w:p w:rsidR="000A70F0" w:rsidRDefault="000A70F0" w:rsidP="00334D12">
      <w:pPr>
        <w:rPr>
          <w:rFonts w:ascii="仿宋" w:eastAsia="仿宋" w:hAnsi="仿宋"/>
          <w:sz w:val="30"/>
          <w:szCs w:val="30"/>
        </w:rPr>
      </w:pPr>
    </w:p>
    <w:p w:rsidR="000A70F0" w:rsidRDefault="000A70F0" w:rsidP="00334D12">
      <w:pPr>
        <w:rPr>
          <w:rFonts w:ascii="仿宋" w:eastAsia="仿宋" w:hAnsi="仿宋"/>
          <w:sz w:val="30"/>
          <w:szCs w:val="30"/>
        </w:rPr>
      </w:pPr>
    </w:p>
    <w:p w:rsidR="000A70F0" w:rsidRDefault="000A70F0" w:rsidP="00334D12">
      <w:pPr>
        <w:rPr>
          <w:rFonts w:ascii="仿宋" w:eastAsia="仿宋" w:hAnsi="仿宋"/>
          <w:sz w:val="30"/>
          <w:szCs w:val="30"/>
        </w:rPr>
      </w:pPr>
    </w:p>
    <w:p w:rsidR="00334D12" w:rsidRPr="00334D12" w:rsidRDefault="00334D12" w:rsidP="000A70F0">
      <w:pPr>
        <w:ind w:firstLineChars="1850" w:firstLine="5550"/>
        <w:rPr>
          <w:rFonts w:ascii="仿宋" w:eastAsia="仿宋" w:hAnsi="仿宋"/>
          <w:sz w:val="30"/>
          <w:szCs w:val="30"/>
        </w:rPr>
      </w:pPr>
      <w:r w:rsidRPr="00334D12">
        <w:rPr>
          <w:rFonts w:ascii="仿宋" w:eastAsia="仿宋" w:hAnsi="仿宋" w:hint="eastAsia"/>
          <w:sz w:val="30"/>
          <w:szCs w:val="30"/>
        </w:rPr>
        <w:t>山东省教育厅</w:t>
      </w:r>
    </w:p>
    <w:p w:rsidR="00334D12" w:rsidRPr="00334D12" w:rsidRDefault="00334D12" w:rsidP="000A70F0">
      <w:pPr>
        <w:ind w:firstLineChars="1750" w:firstLine="5250"/>
        <w:rPr>
          <w:rFonts w:ascii="仿宋" w:eastAsia="仿宋" w:hAnsi="仿宋"/>
          <w:sz w:val="30"/>
          <w:szCs w:val="30"/>
        </w:rPr>
      </w:pPr>
      <w:r w:rsidRPr="00334D12">
        <w:rPr>
          <w:rFonts w:ascii="仿宋" w:eastAsia="仿宋" w:hAnsi="仿宋" w:hint="eastAsia"/>
          <w:sz w:val="30"/>
          <w:szCs w:val="30"/>
        </w:rPr>
        <w:t>2017 年 3 月 9 日</w:t>
      </w:r>
    </w:p>
    <w:p w:rsidR="000A70F0" w:rsidRDefault="000A70F0" w:rsidP="00334D12">
      <w:pPr>
        <w:rPr>
          <w:rFonts w:ascii="仿宋" w:eastAsia="仿宋" w:hAnsi="仿宋"/>
          <w:sz w:val="30"/>
          <w:szCs w:val="30"/>
        </w:rPr>
      </w:pPr>
    </w:p>
    <w:p w:rsidR="000A70F0" w:rsidRDefault="000A70F0" w:rsidP="00334D12">
      <w:pPr>
        <w:rPr>
          <w:rFonts w:ascii="仿宋" w:eastAsia="仿宋" w:hAnsi="仿宋"/>
          <w:sz w:val="30"/>
          <w:szCs w:val="30"/>
        </w:rPr>
      </w:pPr>
    </w:p>
    <w:p w:rsidR="000A70F0" w:rsidRDefault="000A70F0" w:rsidP="00334D12">
      <w:pPr>
        <w:rPr>
          <w:rFonts w:ascii="仿宋" w:eastAsia="仿宋" w:hAnsi="仿宋"/>
          <w:sz w:val="30"/>
          <w:szCs w:val="30"/>
        </w:rPr>
      </w:pPr>
    </w:p>
    <w:p w:rsidR="000A70F0" w:rsidRDefault="000A70F0" w:rsidP="00334D12">
      <w:pPr>
        <w:rPr>
          <w:rFonts w:ascii="仿宋" w:eastAsia="仿宋" w:hAnsi="仿宋"/>
          <w:sz w:val="30"/>
          <w:szCs w:val="30"/>
        </w:rPr>
      </w:pPr>
    </w:p>
    <w:p w:rsidR="000A70F0" w:rsidRDefault="000A70F0" w:rsidP="00334D12">
      <w:pPr>
        <w:rPr>
          <w:rFonts w:ascii="仿宋" w:eastAsia="仿宋" w:hAnsi="仿宋"/>
          <w:sz w:val="30"/>
          <w:szCs w:val="30"/>
        </w:rPr>
      </w:pPr>
    </w:p>
    <w:p w:rsidR="000A70F0" w:rsidRDefault="000A70F0" w:rsidP="00334D12">
      <w:pPr>
        <w:rPr>
          <w:rFonts w:ascii="仿宋" w:eastAsia="仿宋" w:hAnsi="仿宋"/>
          <w:sz w:val="30"/>
          <w:szCs w:val="30"/>
        </w:rPr>
      </w:pPr>
    </w:p>
    <w:p w:rsidR="000A70F0" w:rsidRDefault="000A70F0" w:rsidP="00334D12">
      <w:pPr>
        <w:rPr>
          <w:rFonts w:ascii="仿宋" w:eastAsia="仿宋" w:hAnsi="仿宋"/>
          <w:sz w:val="30"/>
          <w:szCs w:val="30"/>
        </w:rPr>
      </w:pPr>
    </w:p>
    <w:p w:rsidR="000A70F0" w:rsidRDefault="000A70F0" w:rsidP="00334D12">
      <w:pPr>
        <w:rPr>
          <w:rFonts w:ascii="仿宋" w:eastAsia="仿宋" w:hAnsi="仿宋"/>
          <w:sz w:val="30"/>
          <w:szCs w:val="30"/>
        </w:rPr>
      </w:pPr>
    </w:p>
    <w:p w:rsidR="000A70F0" w:rsidRDefault="000A70F0" w:rsidP="00334D12">
      <w:pPr>
        <w:rPr>
          <w:rFonts w:ascii="仿宋" w:eastAsia="仿宋" w:hAnsi="仿宋"/>
          <w:sz w:val="30"/>
          <w:szCs w:val="30"/>
        </w:rPr>
      </w:pPr>
    </w:p>
    <w:p w:rsidR="000A70F0" w:rsidRDefault="000A70F0" w:rsidP="00334D12">
      <w:pPr>
        <w:rPr>
          <w:rFonts w:ascii="仿宋" w:eastAsia="仿宋" w:hAnsi="仿宋"/>
          <w:sz w:val="30"/>
          <w:szCs w:val="30"/>
        </w:rPr>
      </w:pPr>
    </w:p>
    <w:p w:rsidR="00BF63B3" w:rsidRDefault="00BF63B3" w:rsidP="000A70F0">
      <w:pPr>
        <w:jc w:val="center"/>
        <w:rPr>
          <w:rFonts w:ascii="黑体" w:eastAsia="黑体" w:hAnsi="黑体" w:hint="eastAsia"/>
          <w:b/>
          <w:sz w:val="36"/>
          <w:szCs w:val="36"/>
        </w:rPr>
      </w:pPr>
    </w:p>
    <w:p w:rsidR="00334D12" w:rsidRPr="000A70F0" w:rsidRDefault="00334D12" w:rsidP="000A70F0">
      <w:pPr>
        <w:jc w:val="center"/>
        <w:rPr>
          <w:rFonts w:ascii="黑体" w:eastAsia="黑体" w:hAnsi="黑体"/>
          <w:b/>
          <w:sz w:val="36"/>
          <w:szCs w:val="36"/>
        </w:rPr>
      </w:pPr>
      <w:r w:rsidRPr="000A70F0">
        <w:rPr>
          <w:rFonts w:ascii="黑体" w:eastAsia="黑体" w:hAnsi="黑体" w:hint="eastAsia"/>
          <w:b/>
          <w:sz w:val="36"/>
          <w:szCs w:val="36"/>
        </w:rPr>
        <w:lastRenderedPageBreak/>
        <w:t>德州学院本科教学工作审核评估报告</w:t>
      </w:r>
    </w:p>
    <w:p w:rsidR="000A70F0" w:rsidRDefault="000A70F0" w:rsidP="00334D12">
      <w:pPr>
        <w:rPr>
          <w:rFonts w:ascii="仿宋" w:eastAsia="仿宋" w:hAnsi="仿宋"/>
          <w:sz w:val="30"/>
          <w:szCs w:val="30"/>
        </w:rPr>
      </w:pP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根据山东省教育厅的安排，审核评估专家组于 2016 年 5 月29 日至 6 月 3 日对德州学院本科教学工作进行了审核评估。专家组在审核德州学院《自评报告》《本科教学质量报告》及《教</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学基本状态数据分析报告》的基础上，根据《普通高等学校本科</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教学工作审核评估范围》，通过查阅材料、个别深度访谈、集体</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访谈、考察教学设施与公共服务设施、听课、专业剖析、课程分</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析等方式，对德州学院本科教学工作进行了现场考察。考察期间，</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专家组共访谈校领导 3 人，访谈其他人员 112 人，涉及 22 个教学单位及 15 个职能部门和其他单位，听课 29 门，对 6 个专业进行了专业剖析，对 18 门课程进行了课程分析，审阅了 24 个专业共 1223 份毕业论文，查阅了 15 门课程共 1279 份试卷。同时，审阅了培养方案、教学大纲、教学规章制度等。</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在综合各方面情况的基础上，专家组形成了如下审核评估意</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见：</w:t>
      </w:r>
    </w:p>
    <w:p w:rsidR="00334D12" w:rsidRPr="000A70F0" w:rsidRDefault="00334D12" w:rsidP="000A70F0">
      <w:pPr>
        <w:ind w:firstLineChars="200" w:firstLine="602"/>
        <w:rPr>
          <w:rFonts w:asciiTheme="majorEastAsia" w:eastAsiaTheme="majorEastAsia" w:hAnsiTheme="majorEastAsia"/>
          <w:b/>
          <w:sz w:val="30"/>
          <w:szCs w:val="30"/>
        </w:rPr>
      </w:pPr>
      <w:r w:rsidRPr="000A70F0">
        <w:rPr>
          <w:rFonts w:asciiTheme="majorEastAsia" w:eastAsiaTheme="majorEastAsia" w:hAnsiTheme="majorEastAsia" w:hint="eastAsia"/>
          <w:b/>
          <w:sz w:val="30"/>
          <w:szCs w:val="30"/>
        </w:rPr>
        <w:t>一、值得肯定之处</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德州学院自 2000 年举办本科教育以来，不断强化内涵建设，</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狠抓教学质量，办学水平不断提高。2006 年学校在全国同类院</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校中率先通过教育部本科教学工作水平评估，2009 年获批山东</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省第一批研究生联合培养基地。近年来，学校紧紧围绕提高人才</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培养质量开展工作，实现了健康发展，形成了以文、理学科为基</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lastRenderedPageBreak/>
        <w:t>础，工、管应用学科为主体，多学科相互渗透、协调发展的学科</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专业结构和以本科教育为主兼办专科教育、积极发展研究生教育</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的办学格局，本科教学工作取得了较好的成绩，为国家和地方经</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济社会发展培养了大批合格人才。</w:t>
      </w:r>
    </w:p>
    <w:p w:rsidR="00334D12" w:rsidRPr="00334D12" w:rsidRDefault="00334D12" w:rsidP="00AA6193">
      <w:pPr>
        <w:ind w:firstLineChars="200" w:firstLine="600"/>
        <w:rPr>
          <w:rFonts w:ascii="仿宋" w:eastAsia="仿宋" w:hAnsi="仿宋"/>
          <w:sz w:val="30"/>
          <w:szCs w:val="30"/>
        </w:rPr>
      </w:pPr>
      <w:r w:rsidRPr="00334D12">
        <w:rPr>
          <w:rFonts w:ascii="仿宋" w:eastAsia="仿宋" w:hAnsi="仿宋" w:hint="eastAsia"/>
          <w:sz w:val="30"/>
          <w:szCs w:val="30"/>
        </w:rPr>
        <w:t>在办学定位与目标方面，学校立足校情和区域经济社会实际，聚集于应用型大学和培养应用型人才，坚持服务区域发展与立足实际相结合，对接区域经济、社会发展需求，学校的办学定位和人才培养目标基本符合学校实际，与国家和区域经济社会发展需求基本相适应，人才培养效果与培养目标具有一定的达成度。学校高度重视教学工作，坚持人才培养的中心地位，不断加强教学管理，制定了较为完善的教学管理制度。</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在师资队伍方面，学校重视师资队伍建设，实施青年教师成长计划，促进青年教师专业化发展，全面提高青年教师的整体素</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质和创新能力。学校积极实施人才强校战略，围绕学科专业建设</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有针对性引进和大力培养高层次人才，取得了一定的成效。学校</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重视师德建设，制定了《师德建设教育活动实施方案》，有力地</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促进了教风的改善。学校现有教师队伍的年龄、职称、学位和学</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缘结构基本合理，教师质量基本上能够保障教学工作的需要。</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在教学资源方面，学校在办学经费十分紧张的情况下，多方筹措资金，攻坚克难推进东扩工程，完成了校园整体规划设计，</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改善了办学条件。学校不断加强信息化建设，进行了校园网基础</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设施整体升级改造，搭建起了覆盖全校的网络教学综合平台，精</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lastRenderedPageBreak/>
        <w:t>品课程数字资源系统、教务教学管理系统、数字图书馆等业务系</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统运行良好，基本满足了教育教学的需要。学校的教学条件、经</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费投入基本上可以保障教学工作的正常开展和培养目标的达成。</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学校积极开展对外合作办学，与浪潮集团、青岛誉金电子科技有</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限公司等 10 余家企业共建工科专业（方向），积极开展“订单培养”等多种模式的合作育人工作。</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在培养过程方面，学校积极进行教学改革，教学改革思路较为清晰，探索了创新性应用型人才培养模式，建立了校级人才培</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养模式改革试验区；积极开拓第二课堂，重视大学生创新精神和</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实践能力的培养，积极组织学生参加各种科技竞赛活动，取得良</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好的成绩，有效地培养了学生的创新能力，得到了社会的广泛认</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可。社会实践活动扎实有效，设计了综合教育学分，设置了学生</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劳动实践活动周，持续开展文明素质养成专题活动。</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在学生发展方面，通过优化目标、完善职能、打造队伍，创新举措，构建了“校内部门联动”的协同育人体系。学校注重辅</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导员的专业化、职业化与专家化发展，坚持辅导员队伍单设序列、</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单独评聘、单设考核标准的政策，调动了辅导员队伍的工作积极</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性。学校的生源质量稳中有升，整体生源较好，优势专业的生源</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具有明显优势。</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在质量保障方面，学校制定了包括学生学习、教学运行、教学建设、教学管理等教学环节的质量标准和一系列教学管理文</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件，初步建立了校院两级教学质量保障体系；学校建立了校内教</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lastRenderedPageBreak/>
        <w:t>学状态库，定期发布了年度质量报告，制定了本科专业评估方案，</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开展了校内专业评估；学校建立了较完善的质量信息统计、分析、</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反馈机制，构建了教学质量保障体系，教学质量保障体系基本上</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能够做到有效运行。</w:t>
      </w:r>
    </w:p>
    <w:p w:rsidR="00334D12" w:rsidRPr="000A70F0" w:rsidRDefault="00334D12" w:rsidP="000A70F0">
      <w:pPr>
        <w:ind w:firstLineChars="200" w:firstLine="602"/>
        <w:rPr>
          <w:rFonts w:asciiTheme="majorEastAsia" w:eastAsiaTheme="majorEastAsia" w:hAnsiTheme="majorEastAsia"/>
          <w:b/>
          <w:sz w:val="30"/>
          <w:szCs w:val="30"/>
        </w:rPr>
      </w:pPr>
      <w:r w:rsidRPr="000A70F0">
        <w:rPr>
          <w:rFonts w:asciiTheme="majorEastAsia" w:eastAsiaTheme="majorEastAsia" w:hAnsiTheme="majorEastAsia" w:hint="eastAsia"/>
          <w:b/>
          <w:sz w:val="30"/>
          <w:szCs w:val="30"/>
        </w:rPr>
        <w:t>二、需要改进之处</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（一）办学定位与目标</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1.需要整改的问题</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（1）对于办学定位的内涵分析表面化、概念化且表述过于复杂，缺乏对区域产业链、创新链、学科特色和人才需求的深度</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剖析，不利于办学方向、人才培养目标定位的贯彻、落实。</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（2）在办学层次定位上，自评报告中提出了“职业技术对接教育”“留学生教育”“继续教育”，这些教育并不能体现办学</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层次，不能与本专科生教育并提。</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（3）对于学校的办学定位和人才培养目标，全校尚未形成高度共识，部分教师对“创新性应用型人才”培养目标的内涵理</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解不够深刻。</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2.必须整改的问题</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（1）办学定位和人才培养总目标在人才培养方案以及学校相关制度中并没有得到很好的贯彻和落实，在各专业的人才培养</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目标中也没有具体化，部分专业人才培养目标不够清晰，部分专</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业的人才培养目标不符合学校确定的人才培养总目标。</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（2）在办学的各方面和人才培养的各个具体环节需要进一</w:t>
      </w:r>
      <w:r w:rsidRPr="00334D12">
        <w:rPr>
          <w:rFonts w:ascii="仿宋" w:eastAsia="仿宋" w:hAnsi="仿宋" w:hint="eastAsia"/>
          <w:sz w:val="30"/>
          <w:szCs w:val="30"/>
        </w:rPr>
        <w:lastRenderedPageBreak/>
        <w:t>步突出教学中心地位，职能部门须提高为教学中心工作服务的意</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识。</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（二）师资队伍</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1.需要整改的问题</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（1）师资队伍的数量明显不足，学历层次偏低，高水平学科带头人数量不足。从近三年情况看，专任教师总数在减少，而</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学生规模在逐年扩大，师资队伍的结构性矛盾更加突出。</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（2）教师教学水平有待进一步提高。部分教师的课堂教学存在照本宣科或照念 PPT、“满堂灌”等现象，少数教师甚至把</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握不准难易和详略，在讲授过程中平均用力、用时。</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（3）部分教师在本科教学上投入精力不足，教学理念和教学方法稍显陈旧，参与教育教学改革的积极性不高、主动性不够，</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教授为本科生授课及讲授基础课的比例偏低。</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（4）学校缺乏提升教师教学能力的有力措施和具体政策。尽管学校成立了教师教学发展中心，但由于经费不足，体制不顺，</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激励政策乏力，制度不健全等原因，教师赴海外和国内高水平大</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学进修学习的积极性不高，人数非常有限；学校内部教师专业能</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力培训提高的措施较少，仅限于岗前培训、督导专家听课等，新</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进青年教师和历史遗留的低学历教师的专业水平、能力提升缺乏</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动力和效果。</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2.必须整改的问题</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（1）学科专业之间师资数量和结构差异较大，部分专业师</w:t>
      </w:r>
      <w:r w:rsidRPr="00334D12">
        <w:rPr>
          <w:rFonts w:ascii="仿宋" w:eastAsia="仿宋" w:hAnsi="仿宋" w:hint="eastAsia"/>
          <w:sz w:val="30"/>
          <w:szCs w:val="30"/>
        </w:rPr>
        <w:lastRenderedPageBreak/>
        <w:t>资队伍数量和结构不合理。</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（2）“双师型”教师不能满足应用型大学的办学需要，应当加大“双师型”教师队伍建设，提高教师的实践能力。</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（三）教学资源</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1.需要整改的问题</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（1）办学经费紧张，教学投入不足，实验教学和实习经费过低；专业实验、实训条件不能满足创新性应用型人才培养的需</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要。</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（2）学校及教学单位对人才培养方案的重要性认识不足，课程设置不能完全支撑人才培养目标，培养规格不够具体明确，</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存在着因人设课、开课的现象。</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（3）学校对各专业人才培养方案的制定缺乏有效指导和监管。例如，学时学分设置、换算不严谨（同样是 64 学时的课程，</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有的 2 学分，有的 3 学分，有的 4 学分）。再如，实践环节学时学分不足，占总学分比例达不到教育部的基本要求，与应用型人才培养的要求还有较大差距。</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（4）缺乏高水平的优秀课程资源和高水平的教材，信息化教学资源的利用率不高，精品资源共享课程、MO0C、微课等建设</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偏少。</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2.必须整改的问题</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（1）学校缺乏整体科学的专业建设规划设计，新老专业基础相差较大，新上专业过多，部分专业方向设置随意性较大，缺</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lastRenderedPageBreak/>
        <w:t>乏科学论证，师资力量布局不均衡。</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（2）专业数量偏多，导致资源配置分散，专业布局不尽合理，不少专业培养目标和就业去向相同或相近。例如，同一专业</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门类（公共管理类）下的行政管理、公共事业管理分别设置在政</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法学院、历史与社会管理学院；再如，能源与动力工程专业按方</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向分别设置在汽车学院、机电工程学院等。</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（3）课程资源不足，总课程数 1895 门，面向全校学生开设的公共选修课程 104 门，专业选修课程 663 门，不能满足学生选课及学分制改革的需要。</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（四）培养过程</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1.需要整改的问题</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（1）学校教学改革的整体思路在教学单位没有得到完全落实，教学大纲的执行不够严格。</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（2）平时成绩和实验成绩偏高，区分度不大，起不到结构记分和过程性评价的作用。部分试卷分析流于形式，问题缺乏针</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对性，所提出的措施缺乏有效性。</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（3）部分教师的课堂教学效果不佳，缺乏先进的教学方法。</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（4）课堂时间设计不尽合理，上午为 50 分钟，下午为 45分钟，导致实际课时的不一致；专业培养方案设计课时与实际排</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课执行学时差异较大，随意性较强。</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2.必须整改的问题</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（1）部分教学管理规章制度过于陈旧，内容过于原则、粗</w:t>
      </w:r>
      <w:r w:rsidRPr="00334D12">
        <w:rPr>
          <w:rFonts w:ascii="仿宋" w:eastAsia="仿宋" w:hAnsi="仿宋" w:hint="eastAsia"/>
          <w:sz w:val="30"/>
          <w:szCs w:val="30"/>
        </w:rPr>
        <w:lastRenderedPageBreak/>
        <w:t>放，缺乏有效的指导作用。</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（2）毕业论文整体质量不高，论文选题的新颖性不足，部分专业的论文题目雷同，综述类题目过多；部分论文的题目不够</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严谨，普遍缺乏理论性，资料不够充分；各专业毕业论文的学分</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设置相差较大，教师指导毕业论文的数量过多。</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（3）实习、实训基地偏少，不能满足实践教学的要求，实习实训的效果不够理想；实践教学还没有形成完整的体系，实验</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人员严重不足，影响了实验教学的效果；工程类专业实践教学的</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工程量与难度存在一定差距，验证性实验比例过多。</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（五）学生发展</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1.需要整改的问题</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（1）个别专业的生源质量不高，部分专业报考率和报到率偏低。</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（2）部分学生学习的主动性不强，初次就业率不高。</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（3）专业教师参与学生学业指导的制度、机制以及政策缺乏。</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（4）学生和用人单位对学校人才培养质量的满意度问题，学校缺乏科学的制度性反馈渠道设计，实际情况难以做出准确判</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断，建议学校加强毕业生持续跟踪的工作力度，以获得用人单位</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对毕业生更具体、更全面的评价，建议引入第三方对毕业生质量</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进行评价。</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2.必须整改的问题</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lastRenderedPageBreak/>
        <w:t>（1）学生管理队伍关注学生成长成才的机制需进一步完善，学生管理队伍人员与在校生比例偏高。</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（2）创业教育需要进一步加强，创业教育体系尚不完善</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创业教育的基础条件还比较薄弱。</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（六）质量保障</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1.需要整改的问题</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（1）教学质量标准体系有待进一步完善，教学质量保障体系的组织机构不够健全，督导队伍人员偏少。</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（2）教学单位的质量监控制度执行不严，积极性不高，教学质量监督评价没有真正发挥作用，教学评价对改进教学工作的</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成效不明显。</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（3）督导专家听课意见反馈机制不健全，对于促进教学质量改进的效果不大；质量评价信息反馈渠道不够畅通，信息没有</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得到有效利用。</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（4）毕业率和学位授予率偏高，与学生学业实际状况存在偏差。</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2.必须整改的问题</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（1）教学质量监控没有做到全覆盖，对人才培养方案的制定与执行、毕业论文、毕业实习等环节缺乏有效监控。从走访和</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访谈情况判断，专业设置、专业招生计划分配、人才培养方案等</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环节的论证并不充分。</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（2）实践性学分的落实情况并不理想，学生自主选择实习</w:t>
      </w:r>
      <w:r w:rsidRPr="00334D12">
        <w:rPr>
          <w:rFonts w:ascii="仿宋" w:eastAsia="仿宋" w:hAnsi="仿宋" w:hint="eastAsia"/>
          <w:sz w:val="30"/>
          <w:szCs w:val="30"/>
        </w:rPr>
        <w:lastRenderedPageBreak/>
        <w:t>单位不能很好保证实习效果。</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（七）特色项目</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以培养创新性应用型人才为目标，着力打造创新教育体系”作为学校办学的特色项目，基本上反映了学校创新教育的实际情况，符合学校的人才培养目标，取得了一定的实效。但学校作为一个定位为应用型本科高校，应用型人才的培养是题中之义。从该项目的内容来看，应属于学校整体教育体系的总结和归纳，不宜作为一个独立的特色项目。同时，学校有关创新教育尚处于初级阶段，应用型人才培养方面尚存在实验教学设施和实验课不足，实践实习经费不足等情况。因此，建议进一步凝练内容，突出亮点，明确措施，并在人才培养方案中加以体现。</w:t>
      </w:r>
    </w:p>
    <w:p w:rsidR="00334D12" w:rsidRPr="000A70F0" w:rsidRDefault="00334D12" w:rsidP="000A70F0">
      <w:pPr>
        <w:ind w:firstLineChars="200" w:firstLine="602"/>
        <w:rPr>
          <w:rFonts w:asciiTheme="majorEastAsia" w:eastAsiaTheme="majorEastAsia" w:hAnsiTheme="majorEastAsia"/>
          <w:b/>
          <w:sz w:val="30"/>
          <w:szCs w:val="30"/>
        </w:rPr>
      </w:pPr>
      <w:r w:rsidRPr="000A70F0">
        <w:rPr>
          <w:rFonts w:asciiTheme="majorEastAsia" w:eastAsiaTheme="majorEastAsia" w:hAnsiTheme="majorEastAsia" w:hint="eastAsia"/>
          <w:b/>
          <w:sz w:val="30"/>
          <w:szCs w:val="30"/>
        </w:rPr>
        <w:t>三、改进建议和措施</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（一）办学定位与目标</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1.开展现代教育思想和应用型大学建设大讨论，深入思考办学定位、人才培养总目标、专业人才培养目标、人才培养方案制</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订的依据。依据学校的办学定位和办学方向，认真梳理各专业的</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专业培养目标和定位，以保障学校整体发展战略的成功实施。</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2.围绕办学定位和人才培养目标，学校应制定切实可行的措施，将办学定位和人才培养目标的具体要求内化于教学工作之</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中。同时，各专业的人才培养方案在人才培养目标的表述上应与</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学校的人才培养总目标相吻合。</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3.学校要把全面提高人才培养质量放在学校事业发展的核</w:t>
      </w:r>
      <w:r w:rsidRPr="00334D12">
        <w:rPr>
          <w:rFonts w:ascii="仿宋" w:eastAsia="仿宋" w:hAnsi="仿宋" w:hint="eastAsia"/>
          <w:sz w:val="30"/>
          <w:szCs w:val="30"/>
        </w:rPr>
        <w:lastRenderedPageBreak/>
        <w:t>心位置，进一步完善教学中心地位的制度建设；坚持教学经费投</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入优先原则，加强应用型大学办学条件的建设。</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（二）师资队伍</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1.采取有力措施，坚持培养与引进并重的原则，结合学校中长期发展规划，科学编制教师队伍的发展规划，加大高水平教师</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的引进和培养力度，切实提高教师的教学水平。</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2.关注学院之间、专业之间师资数量结构差异问题，加强专业师资队伍建设，重视实验教师队伍建设。</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3.完善教学工作激励机制，加强基层教学组织建设，定期开展教学研讨活动；发挥老教师的传帮带作用，鼓励教师在专业、</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课程、教材、实验等方面进行改革和创新，并将成果应用到实际</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教学工作中。</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4.制定专门政策，鼓励教师到企业和生产、技术一线去进行锻炼，增强教师的行业背景和实践经验，提高教师培养应用型人</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才的能力。</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5.加强教师发展中心的组织建设，强化其职能，增加教师教学水平提高、培训的投入，建立健全教师培训、交流、合作机制。</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（三）教学资源</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1.学校应继续加大对本科教学的投入，合理分配教学经费，保障教学经费的正常使用。</w:t>
      </w:r>
    </w:p>
    <w:p w:rsidR="00334D12" w:rsidRPr="00334D12" w:rsidRDefault="00334D12" w:rsidP="000A70F0">
      <w:pPr>
        <w:ind w:firstLineChars="200" w:firstLine="600"/>
        <w:rPr>
          <w:rFonts w:ascii="仿宋" w:eastAsia="仿宋" w:hAnsi="仿宋"/>
          <w:sz w:val="30"/>
          <w:szCs w:val="30"/>
        </w:rPr>
      </w:pPr>
      <w:r w:rsidRPr="00334D12">
        <w:rPr>
          <w:rFonts w:ascii="仿宋" w:eastAsia="仿宋" w:hAnsi="仿宋" w:hint="eastAsia"/>
          <w:sz w:val="30"/>
          <w:szCs w:val="30"/>
        </w:rPr>
        <w:t>2.建立健全专业准入与退出机制，下大力气压缩专业数量，根据地方经济社会发展的需要调整专业结构与布局，集中力量强</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lastRenderedPageBreak/>
        <w:t>化优势专业、扶持有发展前途的新上专业，淘汰与办学定位和人</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才培养目标不相符合的专业，打造特色品牌专业，形成优势专业</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群。</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3.学校应当挖掘校内外资源，不断扩大课程资源量，以满足学生选课需求；加强信息教学资源和网络教学资源的建设。</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4.整合全校资源，加强校级公共实验实训平台建设，如工程实训中心等；加大教学、科研设施对于学生的开放力度，提高学</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生参与教师科研的积极性。</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（四）培养过程</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1.适应人才培养目标的要求，以教学信息化改革为突破口，</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引进新的教学理念、教学手段、教学方法和教学模式，全面提高</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教师教学能力，全面提高课堂教学质量。</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2.加强校院两级教学规范性建设，更新、修改、完善教学管理制度，进一步抓好、抓细规范执行学校教学管理制度的工作，</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加强部门之间的协调与配合，提高执行力。</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3.在教学过程中应更加注重教学效果和学生的学习效果，关注学生的基础和学习能力，使学生切实学到知识和有所收获。在</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教学内容方面，建议教师结合本专业特点、培养目标和学生的学</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习基础、能力等实际情况，确定教学内容和教学重点、难点。</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4.毕业论文（设计）选题应尽量结合社会实际或教师承担的科研项目，强化毕业论文（设计）的过程管理，有效落实学校相</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关管理规定，强化指导教师的责任意识，提高毕业论文（设计）</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lastRenderedPageBreak/>
        <w:t>的质量。</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5.加强学生考试考核方法的改革，充分发挥考试考核在人才培养中的引导作用，严格学生毕业审核和学位授予。</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6.实践教学学时需要增加，教学实习环节必须健全，实习基地等建设要加大力度，实践课程学分应达到国家要求。</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（五）学生发展</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1.深化人才培养模式改革，改善办学条件，提高教学质量，增加学生就业竞争力，不断提升学校的核心竞争力和社会影响</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力。</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2.充分利用学校资源，建立健全招生就业联动机制，进一步提高生源和就业质量。针对生源质量状况，制订有效的措施和政</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策加强学风建设，促使学生端正学习态度，不断提高育人质量。</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3.加大创新创业教育力度，增强创新创业意识；加大对学生创新创业的扶持力度，提高学生的就业竞争力。</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4.通过服务地方、产学研合作、到企业顶岗实习等措施，建立与用人单位的紧密联系，拓展学生就业渠道，提高学生的实践</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能力和工作适应能力。</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（六）质量保障</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1.进一步完善并落实本科教学质量保证体系，强化教学过程规范化管理，推动本科教学质量全面、持续的提升；进一步完善</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教学质量自我评估制度，开展专业评估、课程评估和二级学院评</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估等。</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lastRenderedPageBreak/>
        <w:t>2.建立完善的教学管理体系，包括制定质量标准、质量策划、</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质量控制、质量保证和质量改进等活动，制定“计划、执行、检</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查、校准”四环节闭合的质量管理操作系统。</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3.加强对校内基本状态数据库的建设，充分利用大数据分析</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结果指导学校、二级学院的教学改革工作；建立评价信息反馈及</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利用的制度机制，将评价结果纳入教师业绩考核体系。</w:t>
      </w:r>
    </w:p>
    <w:p w:rsidR="00334D12" w:rsidRPr="00334D12" w:rsidRDefault="00334D12" w:rsidP="0021569D">
      <w:pPr>
        <w:ind w:firstLineChars="200" w:firstLine="600"/>
        <w:rPr>
          <w:rFonts w:ascii="仿宋" w:eastAsia="仿宋" w:hAnsi="仿宋"/>
          <w:sz w:val="30"/>
          <w:szCs w:val="30"/>
        </w:rPr>
      </w:pPr>
      <w:r w:rsidRPr="00334D12">
        <w:rPr>
          <w:rFonts w:ascii="仿宋" w:eastAsia="仿宋" w:hAnsi="仿宋" w:hint="eastAsia"/>
          <w:sz w:val="30"/>
          <w:szCs w:val="30"/>
        </w:rPr>
        <w:t>4.建立规范的、制度性的教学质量信息反馈制度，尤其是关</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注行业专家、用人单位和毕业生的反馈信息，并将该信息用于培</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养目标、培养方案和课程大纲的修订，以确保学校培养目标的达</w:t>
      </w:r>
    </w:p>
    <w:p w:rsidR="00334D12" w:rsidRPr="00334D12" w:rsidRDefault="00334D12" w:rsidP="00334D12">
      <w:pPr>
        <w:rPr>
          <w:rFonts w:ascii="仿宋" w:eastAsia="仿宋" w:hAnsi="仿宋"/>
          <w:sz w:val="30"/>
          <w:szCs w:val="30"/>
        </w:rPr>
      </w:pPr>
      <w:r w:rsidRPr="00334D12">
        <w:rPr>
          <w:rFonts w:ascii="仿宋" w:eastAsia="仿宋" w:hAnsi="仿宋" w:hint="eastAsia"/>
          <w:sz w:val="30"/>
          <w:szCs w:val="30"/>
        </w:rPr>
        <w:t>成。</w:t>
      </w:r>
    </w:p>
    <w:p w:rsidR="00334D12" w:rsidRPr="00334D12" w:rsidRDefault="00334D12" w:rsidP="0021569D">
      <w:pPr>
        <w:ind w:firstLineChars="150" w:firstLine="450"/>
        <w:rPr>
          <w:rFonts w:ascii="仿宋" w:eastAsia="仿宋" w:hAnsi="仿宋"/>
          <w:sz w:val="30"/>
          <w:szCs w:val="30"/>
        </w:rPr>
      </w:pPr>
      <w:r w:rsidRPr="00334D12">
        <w:rPr>
          <w:rFonts w:ascii="仿宋" w:eastAsia="仿宋" w:hAnsi="仿宋" w:hint="eastAsia"/>
          <w:sz w:val="30"/>
          <w:szCs w:val="30"/>
        </w:rPr>
        <w:t>5.创造条件，设置独立的教学质量监控与评估机构，提高质</w:t>
      </w:r>
    </w:p>
    <w:p w:rsidR="00AB16A6" w:rsidRPr="00334D12" w:rsidRDefault="00334D12" w:rsidP="00334D12">
      <w:pPr>
        <w:rPr>
          <w:rFonts w:ascii="仿宋" w:eastAsia="仿宋" w:hAnsi="仿宋"/>
          <w:sz w:val="30"/>
          <w:szCs w:val="30"/>
        </w:rPr>
      </w:pPr>
      <w:r w:rsidRPr="00334D12">
        <w:rPr>
          <w:rFonts w:ascii="仿宋" w:eastAsia="仿宋" w:hAnsi="仿宋" w:hint="eastAsia"/>
          <w:sz w:val="30"/>
          <w:szCs w:val="30"/>
        </w:rPr>
        <w:t>量监控工作水平。</w:t>
      </w:r>
    </w:p>
    <w:sectPr w:rsidR="00AB16A6" w:rsidRPr="00334D12" w:rsidSect="00AB16A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7E4" w:rsidRDefault="004257E4" w:rsidP="003D164B">
      <w:r>
        <w:separator/>
      </w:r>
    </w:p>
  </w:endnote>
  <w:endnote w:type="continuationSeparator" w:id="0">
    <w:p w:rsidR="004257E4" w:rsidRDefault="004257E4" w:rsidP="003D16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6321"/>
      <w:docPartObj>
        <w:docPartGallery w:val="Page Numbers (Bottom of Page)"/>
        <w:docPartUnique/>
      </w:docPartObj>
    </w:sdtPr>
    <w:sdtContent>
      <w:p w:rsidR="003D164B" w:rsidRDefault="0042467E">
        <w:pPr>
          <w:pStyle w:val="a4"/>
          <w:jc w:val="center"/>
        </w:pPr>
        <w:r w:rsidRPr="003D164B">
          <w:rPr>
            <w:b/>
          </w:rPr>
          <w:fldChar w:fldCharType="begin"/>
        </w:r>
        <w:r w:rsidR="003D164B" w:rsidRPr="003D164B">
          <w:rPr>
            <w:b/>
          </w:rPr>
          <w:instrText xml:space="preserve"> PAGE   \* MERGEFORMAT </w:instrText>
        </w:r>
        <w:r w:rsidRPr="003D164B">
          <w:rPr>
            <w:b/>
          </w:rPr>
          <w:fldChar w:fldCharType="separate"/>
        </w:r>
        <w:r w:rsidR="00C3381F" w:rsidRPr="00C3381F">
          <w:rPr>
            <w:b/>
            <w:noProof/>
            <w:lang w:val="zh-CN"/>
          </w:rPr>
          <w:t>12</w:t>
        </w:r>
        <w:r w:rsidRPr="003D164B">
          <w:rPr>
            <w:b/>
          </w:rPr>
          <w:fldChar w:fldCharType="end"/>
        </w:r>
      </w:p>
    </w:sdtContent>
  </w:sdt>
  <w:p w:rsidR="003D164B" w:rsidRDefault="003D16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7E4" w:rsidRDefault="004257E4" w:rsidP="003D164B">
      <w:r>
        <w:separator/>
      </w:r>
    </w:p>
  </w:footnote>
  <w:footnote w:type="continuationSeparator" w:id="0">
    <w:p w:rsidR="004257E4" w:rsidRDefault="004257E4" w:rsidP="003D16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12"/>
    <w:rsid w:val="000771B0"/>
    <w:rsid w:val="000A70F0"/>
    <w:rsid w:val="0021569D"/>
    <w:rsid w:val="00334D12"/>
    <w:rsid w:val="003B4E4C"/>
    <w:rsid w:val="003D164B"/>
    <w:rsid w:val="0042467E"/>
    <w:rsid w:val="004257E4"/>
    <w:rsid w:val="00A619A7"/>
    <w:rsid w:val="00AA6193"/>
    <w:rsid w:val="00AB16A6"/>
    <w:rsid w:val="00BF63B3"/>
    <w:rsid w:val="00C338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16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164B"/>
    <w:rPr>
      <w:sz w:val="18"/>
      <w:szCs w:val="18"/>
    </w:rPr>
  </w:style>
  <w:style w:type="paragraph" w:styleId="a4">
    <w:name w:val="footer"/>
    <w:basedOn w:val="a"/>
    <w:link w:val="Char0"/>
    <w:uiPriority w:val="99"/>
    <w:unhideWhenUsed/>
    <w:rsid w:val="003D164B"/>
    <w:pPr>
      <w:tabs>
        <w:tab w:val="center" w:pos="4153"/>
        <w:tab w:val="right" w:pos="8306"/>
      </w:tabs>
      <w:snapToGrid w:val="0"/>
      <w:jc w:val="left"/>
    </w:pPr>
    <w:rPr>
      <w:sz w:val="18"/>
      <w:szCs w:val="18"/>
    </w:rPr>
  </w:style>
  <w:style w:type="character" w:customStyle="1" w:styleId="Char0">
    <w:name w:val="页脚 Char"/>
    <w:basedOn w:val="a0"/>
    <w:link w:val="a4"/>
    <w:uiPriority w:val="99"/>
    <w:rsid w:val="003D16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cp:revision>
  <dcterms:created xsi:type="dcterms:W3CDTF">2017-03-13T07:25:00Z</dcterms:created>
  <dcterms:modified xsi:type="dcterms:W3CDTF">2018-03-28T06:25:00Z</dcterms:modified>
</cp:coreProperties>
</file>